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ПУБЛИЧНАЯ ОФЕРТА</w:t>
      </w:r>
    </w:p>
    <w:p>
      <w:pPr>
        <w:pStyle w:val="Subtitle"/>
      </w:pPr>
      <w:r>
        <w:rPr>
          <w:color w:val="000000"/>
        </w:rPr>
        <w:t>Договор на участие в онлайн-курсе</w:t>
      </w:r>
    </w:p>
    <w:p>
      <w:r>
        <w:t>Эффективное планирование и составление графиков строительных проектов</w:t>
      </w:r>
    </w:p>
    <w:p>
      <w:r>
        <w:t>Редакция № 2 от 08 октября 2026 года · г. Ташкент</w:t>
      </w:r>
    </w:p>
    <w:tbl>
      <w:tblPr>
        <w:tblStyle w:val="TableGrid"/>
        <w:tblW w:type="auto" w:w="0"/>
        <w:tblLook w:firstColumn="1" w:firstRow="1" w:lastColumn="0" w:lastRow="0" w:noHBand="0" w:noVBand="1" w:val="04A0"/>
      </w:tblPr>
      <w:tblGrid>
        <w:gridCol w:w="4876"/>
        <w:gridCol w:w="4876"/>
      </w:tblGrid>
      <w:tr>
        <w:tc>
          <w:tcPr>
            <w:tcW w:type="dxa" w:w="4876"/>
          </w:tcPr>
          <w:p>
            <w:pPr>
              <w:spacing w:after="80"/>
            </w:pPr>
            <w:r>
              <w:rPr>
                <w:b/>
                <w:sz w:val="20"/>
              </w:rPr>
              <w:t>Курс</w:t>
            </w:r>
          </w:p>
        </w:tc>
        <w:tc>
          <w:tcPr>
            <w:tcW w:type="dxa" w:w="4876"/>
          </w:tcPr>
          <w:p>
            <w:r>
              <w:t>8 занятий · 20 академических часов: 16 с тренерами + 4 самостоятельно</w:t>
            </w:r>
          </w:p>
        </w:tc>
      </w:tr>
      <w:tr>
        <w:tc>
          <w:tcPr>
            <w:tcW w:type="dxa" w:w="4876"/>
          </w:tcPr>
          <w:p>
            <w:pPr>
              <w:spacing w:after="80"/>
            </w:pPr>
            <w:r>
              <w:rPr>
                <w:b/>
                <w:sz w:val="20"/>
              </w:rPr>
              <w:t>Цена первого потока</w:t>
            </w:r>
          </w:p>
        </w:tc>
        <w:tc>
          <w:tcPr>
            <w:tcW w:type="dxa" w:w="4876"/>
          </w:tcPr>
          <w:p>
            <w:r>
              <w:t>6 300 000 сум за человека, скидка 10%</w:t>
            </w:r>
          </w:p>
        </w:tc>
      </w:tr>
      <w:tr>
        <w:tc>
          <w:tcPr>
            <w:tcW w:type="dxa" w:w="4876"/>
          </w:tcPr>
          <w:p>
            <w:pPr>
              <w:spacing w:after="80"/>
            </w:pPr>
            <w:r>
              <w:rPr>
                <w:b/>
                <w:sz w:val="20"/>
              </w:rPr>
              <w:t>Язык</w:t>
            </w:r>
          </w:p>
        </w:tc>
        <w:tc>
          <w:tcPr>
            <w:tcW w:type="dxa" w:w="4876"/>
          </w:tcPr>
          <w:p>
            <w:r>
              <w:t>Русский, текстовый перевод на узбекский с Tarjima</w:t>
            </w:r>
          </w:p>
        </w:tc>
      </w:tr>
      <w:tr>
        <w:tc>
          <w:tcPr>
            <w:tcW w:type="dxa" w:w="4876"/>
          </w:tcPr>
          <w:p>
            <w:pPr>
              <w:spacing w:after="80"/>
            </w:pPr>
            <w:r>
              <w:rPr>
                <w:b/>
                <w:sz w:val="20"/>
              </w:rPr>
              <w:t>Оплата</w:t>
            </w:r>
          </w:p>
        </w:tc>
        <w:tc>
          <w:tcPr>
            <w:tcW w:type="dxa" w:w="4876"/>
          </w:tcPr>
          <w:p>
            <w:pPr>
              <w:spacing w:after="80"/>
            </w:pPr>
            <w:r>
              <w:rPr>
                <w:b w:val="0"/>
                <w:sz w:val="20"/>
              </w:rPr>
              <w:t>100% после подтверждения расписания и места</w:t>
            </w:r>
          </w:p>
        </w:tc>
      </w:tr>
      <w:tr>
        <w:tc>
          <w:tcPr>
            <w:tcW w:type="dxa" w:w="4876"/>
          </w:tcPr>
          <w:p>
            <w:pPr>
              <w:spacing w:after="80"/>
            </w:pPr>
            <w:r>
              <w:rPr>
                <w:b/>
                <w:sz w:val="20"/>
              </w:rPr>
              <w:t>Даты занятий</w:t>
            </w:r>
          </w:p>
        </w:tc>
        <w:tc>
          <w:tcPr>
            <w:tcW w:type="dxa" w:w="4876"/>
          </w:tcPr>
          <w:p>
            <w:pPr>
              <w:spacing w:after="80"/>
            </w:pPr>
            <w:r>
              <w:rPr>
                <w:b w:val="0"/>
                <w:sz w:val="20"/>
              </w:rPr>
              <w:t>Указываются письменно в подтверждении до оплаты</w:t>
            </w:r>
          </w:p>
        </w:tc>
      </w:tr>
    </w:tbl>
    <w:p>
      <w:pPr>
        <w:pStyle w:val="Heading1"/>
        <w:pageBreakBefore w:val="0"/>
      </w:pPr>
      <w:r>
        <w:t>1 Предмет и стороны договора</w:t>
      </w:r>
    </w:p>
    <w:p>
      <w:r>
        <w:t>1.1. Общество с ограниченной ответственностью «BRIDGE CONSULT», ИНН 304352406, в лице директора Белоусовой Ларисы Константиновны, действующей на основании Устава (Исполнитель), предлагает заключить договор на участие в онлайн-курсе «Эффективное планирование и составление графиков строительных проектов» на следующих условиях.</w:t>
      </w:r>
    </w:p>
    <w:p>
      <w:r>
        <w:t>1.2. Заказчиком может быть совершеннолетнее дееспособное физическое лицо, индивидуальный предприниматель или юридическое лицо. Слушатель — физическое лицо, указанное Заказчиком при записи. Заказчик знакомит Слушателя с офертой, обеспечивает законность передачи его данных и отвечает за соблюдение им правил участия в соответствии с разделом 7.</w:t>
      </w:r>
    </w:p>
    <w:p>
      <w:r>
        <w:t>1.3. Курс проводится по учебному плану Исполнителя BC-PC-2026-01. Общий объём — 20 академических часов по 45 минут: 16 часов онлайн-занятий с тренерами (6 часов лекций и 10 часов практики) и 4 часа самостоятельной работы, включая итоговое задание. Предусмотрены 8 онлайн-занятий по 90 учебных минут. Перерывы, в том числе десятиминутные, добавляются к времени занятия и не входят в учебные часы.</w:t>
      </w:r>
    </w:p>
    <w:p>
      <w:r>
        <w:t>1.4. Содержание курса: роль календарного планирования; разработка базового графика; логические связи, календари и критический путь; мониторинг и актуализация графика; анализ задержек и обоснование продления сроков выполнения работ (EOT); основы Project Controls и контроль стоимости; итоговая комплексная практическая работа. Практические задания выполняются на учебном инфраструктурном проекте. Другие курсы Исполнителя в стоимость не входят и оплачиваются отдельно.</w:t>
      </w:r>
    </w:p>
    <w:p>
      <w:pPr>
        <w:pStyle w:val="Heading1"/>
        <w:pageBreakBefore w:val="0"/>
      </w:pPr>
      <w:r>
        <w:t>2 Запись и заключение договора</w:t>
      </w:r>
    </w:p>
    <w:p>
      <w:r>
        <w:t>2.1. Для записи Заказчик заполняет форму заявки для физического или юридического лица и направляет её на info@bridgeconsult.uz. Допускается передача тех же сведений письмом: данные Заказчика и Слушателя, телефон, электронная почта, выбранный курс; для организации — также реквизиты и сведения о подписанте. Заявка, запрос места и нажатие кнопки на сайте сами по себе не заключают договор и не создают обязанности оплатить курс.</w:t>
      </w:r>
    </w:p>
    <w:p>
      <w:r>
        <w:t>2.2. До оплаты Исполнитель направляет подтверждение заказа: наименование курса, список Слушателей, первоначальные даты и время всех занятий по Ташкенту, платформу и технические требования, цену места и общую сумму, срок оплаты, номер счёта или заказа, крайнюю дату добровольного отказа с возвратом, условия переноса и штрафов, а также настоящую редакцию оферты. Подтверждение входит в состав договора. При заказе двух курсов условия и стоимость указываются отдельно по каждому курсу. Оплата до получения подтверждения не требуется.</w:t>
      </w:r>
    </w:p>
    <w:p>
      <w:r>
        <w:t>2.3. Акцепт — полная оплата подтверждённого заказа в установленный срок. Договор заключается при получении Исполнителем оплаты, позволяющей определить Заказчика и заказ. Исполнитель подтверждает зачисление и участие не позднее следующего рабочего дня. При оплате другим лицом в назначении платежа указываются Заказчик, Слушатель и номер заказа. Для бесплатного участия применяется пункт 3.4.</w:t>
      </w:r>
    </w:p>
    <w:p>
      <w:r>
        <w:t>2.4. Если уведомление об отзыве акцепта получено Исполнителем раньше акцепта или одновременно с ним, договор не считается заключённым; поступившая сумма возвращается. После заключения договора применяются условия раздела 6. Ошибочные платежи, переплата и оплата неподтверждённого заказа возвращаются в течение 10 календарных дней после установления плательщика и получения необходимых платёжных данных.</w:t>
      </w:r>
    </w:p>
    <w:p>
      <w:r>
        <w:t>2.5. Для Заказчика сохраняется редакция оферты, полученная до акцепта. Последующие изменения сайта и оферты не меняют заключённый договор. Иные условия согласовываются письменно, кроме переноса в пределах заранее принятого пункта 6.4. Изменение программы, языка обучения или предусмотренного перевода требует отдельного согласования и не считается принятым по молчанию.</w:t>
      </w:r>
    </w:p>
    <w:p>
      <w:pPr>
        <w:pStyle w:val="Heading1"/>
        <w:pageBreakBefore w:val="0"/>
      </w:pPr>
      <w:r>
        <w:t>3 Стоимость и оплата</w:t>
      </w:r>
    </w:p>
    <w:p>
      <w:r>
        <w:t>3.1. Стоимость одного места в первом потоке — 6 300 000 (шесть миллионов триста тысяч) сум за весь курс. Это юбилейная скидка 10% от базовой цены 7 000 000 сум. Общая численность группы, включая приглашённых участников, — не более 30 человек.</w:t>
      </w:r>
    </w:p>
    <w:p>
      <w:r>
        <w:t>3.2. В цену включены онлайн-занятия, электронные учебные материалы, текстовый перевод Tarjima с русского на узбекский язык, проверка самостоятельных заданий и итоговой работы, итоговый контроль и электронный сертификат при выполнении условий раздела 5. Цена является окончательной, включает применимые налоги; дополнительных обязательных платежей Исполнителю нет. Налоговый статус и выделение налога отражаются в расчётных документах в соответствии с законодательством.</w:t>
      </w:r>
    </w:p>
    <w:p>
      <w:r>
        <w:t>3.3. Оплата — 100% предварительно в сумах на расчётный счёт Исполнителя, после подтверждения места и расписания. При оплате через предложенный Исполнителем платёжный сервис используются только реквизиты официального заказа. Комиссия банка или сервиса плательщика, если она есть, определяется его тарифами и не является частью цены курса.</w:t>
      </w:r>
    </w:p>
    <w:p>
      <w:r>
        <w:t>3.4. Бесплатное участие оформляется отдельным письменным приглашением с указанием нулевой оплаты и цены платного места, применяемой только для расчёта штрафов по разделу 7. Приглашённый Слушатель письменно принимает приглашение и правила участия до получения доступа; оплату курса с него не требуют. Применение скидки не уменьшает объём услуг и предусмотренных законом прав Заказчика.</w:t>
      </w:r>
    </w:p>
    <w:p>
      <w:pPr>
        <w:pStyle w:val="Heading1"/>
        <w:pageBreakBefore w:val="0"/>
      </w:pPr>
      <w:r>
        <w:t>4 Проведение занятий и перевод</w:t>
      </w:r>
    </w:p>
    <w:p>
      <w:r>
        <w:t>4.1. Занятия проходят онлайн в реальном времени на русском языке с синхронным текстовым переводом на узбекский с помощью Tarjima. Плановые дни — вторник и пятница. Даты и время из подтверждения заказа обязательны с учётом предусмотренного пунктом 6.4 переноса. Ссылку и инструкцию Исполнитель направляет не позднее чем за 24 часа до первого занятия; при более позднем согласованном зачислении — сразу после оплаты, до начала занятия.</w:t>
      </w:r>
    </w:p>
    <w:p>
      <w:r>
        <w:t>4.2. Курс ведут Лариса Белоусова, Сергей Вдовенко и Люция Ахмедиева. Распределение тем между тренерами определяет Исполнитель. При необходимой замене тренера Исполнитель предварительно уведомляет Заказчика и обеспечивает сопоставимую квалификацию. Существенные изменения программы или условий участия согласовываются по разделу 6.</w:t>
      </w:r>
    </w:p>
    <w:p>
      <w:r>
        <w:t>4.3. Слушатель обеспечивает устройство, устойчивое подключение к интернету и возможность использовать заранее указанную платформу. Исполнитель предоставляет инструкцию и помощь при подключении. О сбое Слушатель сообщает по телефону или электронной почте из раздела 10, чтобы Исполнитель мог принять меры.</w:t>
      </w:r>
    </w:p>
    <w:p>
      <w:r>
        <w:t>4.4. Tarjima обеспечивает автоматизированный текстовый перевод; отдельные термины могут требовать уточнения у тренера. При отсутствии перевода или доступа к занятию Слушатель сообщает об этом в чате занятия либо на info@bridgeconsult.uz, указывая время и характер проблемы. Исполнитель проверяет причину и продолжительность сбоя по доступным техническим данным, переписке и другим представленным материалам. При сбое на стороне Исполнителя недоступная Слушателю часть учебного материала разбирается повторно без доплаты — в текущем занятии либо на дополнительном занятии в согласованное с Заказчиком время. Время технического перерыва не засчитывается в учебные часы. Иные требования Заказчика рассматриваются по разделу 6 и законодательству.</w:t>
      </w:r>
    </w:p>
    <w:p>
      <w:r>
        <w:t>4.5. Пропуск занятия Слушателем при предоставленном доступе не является отменой занятия Исполнителем. Порядок прекращения участия установлен разделом 6. Записи занятий Слушателям не предоставляются.</w:t>
      </w:r>
    </w:p>
    <w:p>
      <w:pPr>
        <w:pStyle w:val="Heading1"/>
        <w:pageBreakBefore w:val="0"/>
      </w:pPr>
      <w:r>
        <w:t>5 Завершение курса и сертификат</w:t>
      </w:r>
    </w:p>
    <w:p>
      <w:r>
        <w:t>5.1. Для получения сертификата необходимо выполнить самостоятельные задания и успешно пройти итоговую аттестацию в форме комплексной практической работы, набрав не менее 70 из 100 баллов. Сроки сдачи и критерии оценки сообщаются до оплаты в подтверждении заказа. При подтверждённом техническом сбое на стороне Исполнителя предоставляется возможность восполнить пропущенную часть или пройти итоговый контроль без дополнительной платы.</w:t>
      </w:r>
    </w:p>
    <w:p>
      <w:r>
        <w:t xml:space="preserve">5.2. Электронный сертификат ООО «BRIDGE CONSULT» с регистрационным номером и ссылкой на </w:t>
      </w:r>
      <w:hyperlink r:id="rId11">
        <w:r>
          <w:rPr>
            <w:color w:val="9C6B19"/>
            <w:u w:val="single"/>
          </w:rPr>
          <w:t>Реестр сертификатов Исполнителя</w:t>
        </w:r>
      </w:hyperlink>
      <w:r>
        <w:t xml:space="preserve"> оформляется в течение 10 рабочих дней после выполнения условий пункта 5.1. Он подтверждает прохождение курса повышения квалификации Исполнителя и не является дипломом государственного образца или профессиональной сертификацией сторонней организации. При невыполнении условий сертификат о прохождении курса не выдаётся; по запросу может быть оформлена справка о фактическом участии.</w:t>
      </w:r>
    </w:p>
    <w:p>
      <w:r>
        <w:t>5.3. Исполнитель ведёт учёт посещаемости, проведённых занятий, переданных материалов и результатов контроля. Заказчику-организации по запросу предоставляются счёт, акт и иные предусмотренные законодательством расчётные документы. Отсутствие немедленной претензии не лишает Заказчика установленных законом прав.</w:t>
      </w:r>
    </w:p>
    <w:p>
      <w:pPr>
        <w:pStyle w:val="Heading1"/>
        <w:pageBreakBefore w:val="0"/>
      </w:pPr>
      <w:r>
        <w:t>6 Перенос, отказ и возврат</w:t>
      </w:r>
    </w:p>
    <w:p>
      <w:r>
        <w:t>6.1. При добровольном отказе от участия полная оплата возвращается, если уведомление Заказчика получено на info@bridgeconsult.uz не позднее чем за 10 календарных дней до первоначальной даты первого занятия. Крайняя дата указывается в подтверждении заказа; уведомление принимается до 23:59 этой даты по времени Ташкента. В уведомлении указываются Заказчик, Ф.И.О. Слушателя, курс и номер заказа. После этого срока при отказе по причинам, не связанным с виновными действиями Исполнителя, оплата не возвращается в соответствии со статьёй 707 Гражданского кодекса Республики Узбекистан. Перенос по пункту 6.4 сам по себе не открывает новый срок добровольного отказа; обязательные основания возврата по закону сохраняются.</w:t>
      </w:r>
    </w:p>
    <w:p>
      <w:r>
        <w:t>6.2. При надлежащем исполнении обязательств Исполнителем неявка, опоздание, пропуск занятий, досрочное прекращение участия и невыполнение Слушателем условий получения сертификата не являются основаниями для возврата оплаты или уменьшения цены. Оплачивается курс в целом; перерасчёт по количеству посещённых занятий или учебных минут не производится. Обязательные права Заказчика по законодательству сохраняются.</w:t>
      </w:r>
    </w:p>
    <w:p>
      <w:r>
        <w:t>6.3. До начала курса Заказчик может письменно заменить Слушателя без доплаты, предоставив данные нового участника. После начала курса замена допускается по письменному согласованию с учётом условий получения сертификата.</w:t>
      </w:r>
    </w:p>
    <w:p>
      <w:r>
        <w:t>6.4. При командировке или болезни тренера, а также техническом сбое, препятствующем проведению занятия, Исполнитель вправе перенести начало курса или отдельное занятие. Каждое занятие проводится не позднее трёх календарных месяцев от его первоначально установленной даты. Повторные переносы не продлевают этот предел. Исполнитель направляет по электронной почте причину и новое расписание не позднее чем за три календарных дня до занятия, а при внезапном возникновении обстоятельств — незамедлительно после того, как о них стало известно. Оплата полностью засчитывается; доплата не требуется. Объём, программа, язык обучения и перевод сохраняются. Возможность переноса и предельный срок сообщаются в подтверждении до оплаты. Обязательные права Заказчика по законодательству сохраняются.</w:t>
      </w:r>
    </w:p>
    <w:p>
      <w:r>
        <w:t>6.5. При отмене курса Исполнителем до начала занятий возвращается вся оплата. При прекращении курса после начала возвращается оплата за неоказанную часть, рассчитанная пропорционально неоказанному учебному объёму. При нарушении согласованных сроков, объёма или качества Заказчик вправе предъявить предусмотренные законом требования, включая устранение недостатков, уменьшение цены, расторжение и возмещение убытков при наличии установленных оснований. Превышение предельного срока пункта 6.4 не считается согласованным переносом. Договорные ограничения добровольного отказа не исключают обязательных прав Заказчика.</w:t>
      </w:r>
    </w:p>
    <w:p>
      <w:r>
        <w:t>6.6. Возврат по пунктам 6.1, 6.5 или законодательству производится плательщику тем же способом, а при невозможности — по согласованным реквизитам, в течение 10 календарных дней после получения требования и необходимых платёжных данных, если законом не установлен более короткий срок. Исполнитель сообщает основание и сумму возврата. При отмене курса Исполнителем возврат инициируется без отдельного заявления Заказчика.</w:t>
      </w:r>
    </w:p>
    <w:p>
      <w:pPr>
        <w:pStyle w:val="Heading1"/>
        <w:pageBreakBefore w:val="0"/>
      </w:pPr>
      <w:r>
        <w:t>7 Материалы и правила участия</w:t>
      </w:r>
    </w:p>
    <w:p>
      <w:r>
        <w:t>7.1. Учебные материалы предоставляются исключительно для личного профессионального обучения Слушателя. Категорически запрещаются их публикация, продажа, распространение и передача третьим лицам полностью или частично, в любой форме, включая интернет, социальные сети, мессенджеры и общедоступные хранилища. Запрещаются передача персональной ссылки, использование одного места несколькими лицами, несогласованная аудио- или видеозапись занятий, запись экрана и подключение ботов для записи. Оплата не предоставляет прав на коммерческое использование. Действия, прямо разрешённые законом, нарушением не являются.</w:t>
      </w:r>
    </w:p>
    <w:p>
      <w:r>
        <w:t>7.2. Слушатель соблюдает деловой порядок общения. Запрещены оскорбления, угрозы, спам, намеренное создание помех и вмешательство в работу платформы. Практические вопросы представляются без персональных данных третьих лиц и закрытых сведений проектов. Курс не заменяет индивидуального заключения по конкретному контракту.</w:t>
      </w:r>
    </w:p>
    <w:p>
      <w:r>
        <w:t>7.3. За подтверждённое нарушение правил Заказчик уплачивает следующие договорные штрафы: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917"/>
        <w:gridCol w:w="2835"/>
      </w:tblGrid>
      <w:tr>
        <w:trPr>
          <w:cantSplit/>
          <w:tblHeader/>
        </w:trPr>
        <w:tc>
          <w:tcPr>
            <w:tcW w:type="dxa" w:w="6917"/>
            <w:vAlign w:val="center"/>
            <w:shd w:fill="354B39"/>
            <w:tcMar>
              <w:top w:w="70" w:type="dxa"/>
              <w:bottom w:w="70" w:type="dxa"/>
              <w:left w:w="95" w:type="dxa"/>
              <w:right w:w="95" w:type="dxa"/>
            </w:tcMar>
          </w:tcPr>
          <w:p>
            <w:pPr>
              <w:spacing w:before="20" w:after="20" w:line="252" w:lineRule="auto"/>
            </w:pPr>
            <w:r>
              <w:rPr>
                <w:b/>
                <w:color w:val="FFFFFF"/>
                <w:sz w:val="18"/>
              </w:rPr>
              <w:t>Нарушение</w:t>
            </w:r>
          </w:p>
        </w:tc>
        <w:tc>
          <w:tcPr>
            <w:tcW w:type="dxa" w:w="2835"/>
            <w:vAlign w:val="center"/>
            <w:shd w:fill="354B39"/>
            <w:tcMar>
              <w:top w:w="70" w:type="dxa"/>
              <w:bottom w:w="70" w:type="dxa"/>
              <w:left w:w="95" w:type="dxa"/>
              <w:right w:w="95" w:type="dxa"/>
            </w:tcMar>
          </w:tcPr>
          <w:p>
            <w:pPr>
              <w:spacing w:before="20" w:after="20" w:line="252" w:lineRule="auto"/>
            </w:pPr>
            <w:r>
              <w:rPr>
                <w:b/>
                <w:color w:val="FFFFFF"/>
                <w:sz w:val="18"/>
              </w:rPr>
              <w:t>Штраф</w:t>
            </w:r>
          </w:p>
        </w:tc>
      </w:tr>
      <w:tr>
        <w:trPr>
          <w:cantSplit/>
        </w:trPr>
        <w:tc>
          <w:tcPr>
            <w:tcW w:type="dxa" w:w="6917"/>
            <w:vAlign w:val="center"/>
            <w:shd w:fill="F2F3EE"/>
            <w:tcMar>
              <w:top w:w="70" w:type="dxa"/>
              <w:bottom w:w="70" w:type="dxa"/>
              <w:left w:w="95" w:type="dxa"/>
              <w:right w:w="95" w:type="dxa"/>
            </w:tcMar>
          </w:tcPr>
          <w:p>
            <w:pPr>
              <w:spacing w:before="20" w:after="20" w:line="252" w:lineRule="auto"/>
            </w:pPr>
            <w:r>
              <w:rPr>
                <w:color w:val="000000"/>
                <w:sz w:val="18"/>
              </w:rPr>
              <w:t>Передача персональной ссылки или предоставление своего доступа постороннему лицу</w:t>
            </w:r>
          </w:p>
        </w:tc>
        <w:tc>
          <w:tcPr>
            <w:tcW w:type="dxa" w:w="2835"/>
            <w:vAlign w:val="center"/>
            <w:shd w:fill="F2F3EE"/>
            <w:tcMar>
              <w:top w:w="70" w:type="dxa"/>
              <w:bottom w:w="70" w:type="dxa"/>
              <w:left w:w="95" w:type="dxa"/>
              <w:right w:w="95" w:type="dxa"/>
            </w:tcMar>
          </w:tcPr>
          <w:p>
            <w:pPr>
              <w:spacing w:before="20" w:after="20" w:line="252" w:lineRule="auto"/>
            </w:pPr>
            <w:r>
              <w:rPr>
                <w:color w:val="000000"/>
                <w:sz w:val="18"/>
              </w:rPr>
              <w:t>100% цены одного места</w:t>
            </w:r>
          </w:p>
        </w:tc>
      </w:tr>
      <w:tr>
        <w:trPr>
          <w:cantSplit/>
        </w:trPr>
        <w:tc>
          <w:tcPr>
            <w:tcW w:type="dxa" w:w="6917"/>
            <w:vAlign w:val="center"/>
            <w:shd w:fill="FFFFFF"/>
            <w:tcMar>
              <w:top w:w="70" w:type="dxa"/>
              <w:bottom w:w="70" w:type="dxa"/>
              <w:left w:w="95" w:type="dxa"/>
              <w:right w:w="95" w:type="dxa"/>
            </w:tcMar>
          </w:tcPr>
          <w:p>
            <w:pPr>
              <w:spacing w:before="20" w:after="20" w:line="252" w:lineRule="auto"/>
            </w:pPr>
            <w:r>
              <w:rPr>
                <w:color w:val="000000"/>
                <w:sz w:val="18"/>
              </w:rPr>
              <w:t>Несогласованная аудио- или видеозапись занятия, включая запись экрана</w:t>
            </w:r>
          </w:p>
        </w:tc>
        <w:tc>
          <w:tcPr>
            <w:tcW w:type="dxa" w:w="2835"/>
            <w:vAlign w:val="center"/>
            <w:shd w:fill="FFFFFF"/>
            <w:tcMar>
              <w:top w:w="70" w:type="dxa"/>
              <w:bottom w:w="70" w:type="dxa"/>
              <w:left w:w="95" w:type="dxa"/>
              <w:right w:w="95" w:type="dxa"/>
            </w:tcMar>
          </w:tcPr>
          <w:p>
            <w:pPr>
              <w:spacing w:before="20" w:after="20" w:line="252" w:lineRule="auto"/>
            </w:pPr>
            <w:r>
              <w:rPr>
                <w:color w:val="000000"/>
                <w:sz w:val="18"/>
              </w:rPr>
              <w:t>50% цены одного места</w:t>
            </w:r>
          </w:p>
        </w:tc>
      </w:tr>
      <w:tr>
        <w:trPr>
          <w:cantSplit/>
        </w:trPr>
        <w:tc>
          <w:tcPr>
            <w:tcW w:type="dxa" w:w="6917"/>
            <w:vAlign w:val="center"/>
            <w:shd w:fill="F2F3EE"/>
            <w:tcMar>
              <w:top w:w="70" w:type="dxa"/>
              <w:bottom w:w="70" w:type="dxa"/>
              <w:left w:w="95" w:type="dxa"/>
              <w:right w:w="95" w:type="dxa"/>
            </w:tcMar>
          </w:tcPr>
          <w:p>
            <w:pPr>
              <w:spacing w:before="20" w:after="20" w:line="252" w:lineRule="auto"/>
            </w:pPr>
            <w:r>
              <w:rPr>
                <w:color w:val="000000"/>
                <w:sz w:val="18"/>
              </w:rPr>
              <w:t>Незаконная передача третьим лицам, публикация, распространение или продажа учебных материалов либо записей</w:t>
            </w:r>
          </w:p>
        </w:tc>
        <w:tc>
          <w:tcPr>
            <w:tcW w:type="dxa" w:w="2835"/>
            <w:vAlign w:val="center"/>
            <w:shd w:fill="F2F3EE"/>
            <w:tcMar>
              <w:top w:w="70" w:type="dxa"/>
              <w:bottom w:w="70" w:type="dxa"/>
              <w:left w:w="95" w:type="dxa"/>
              <w:right w:w="95" w:type="dxa"/>
            </w:tcMar>
          </w:tcPr>
          <w:p>
            <w:pPr>
              <w:spacing w:before="20" w:after="20" w:line="252" w:lineRule="auto"/>
            </w:pPr>
            <w:r>
              <w:rPr>
                <w:color w:val="000000"/>
                <w:sz w:val="18"/>
              </w:rPr>
              <w:t>30 000 000 сум</w:t>
            </w:r>
          </w:p>
        </w:tc>
      </w:tr>
    </w:tbl>
    <w:p>
      <w:pPr/>
      <w:r>
        <w:t>Для процентных штрафов применяется цена одного платного места данного курса и потока из подтверждения заказа, с учётом скидки; для бесплатного приглашения — указанная в нём база. Штраф 30 000 000 сум от цены места не зависит. Штраф начисляется за самостоятельный подтверждённый эпизод. Передача одного комплекта одному получателю либо одно непрерывное размещение считаются одним эпизодом, без начисления за каждый файл или день. Если эпизод подпадает под несколько строк, применяется только наибольший штраф.</w:t>
      </w:r>
    </w:p>
    <w:p>
      <w:pPr/>
      <w:r>
        <w:t>7.4. Исполнитель вправе немедленно прекратить посторонний доступ или несогласованную запись. Нарушитель обязан прекратить распространение и удалить незаконно размещённые материалы в течение 24 часов после получения требования. Уплата штрафа не предоставляет права использовать материалы. При оскорблениях, спаме или намеренных помехах Исполнитель предупреждает Слушателя; при продолжении нарушения отключает его от текущего занятия. При угрозах или вмешательстве в работу платформы отключение допускается немедленно.</w:t>
      </w:r>
    </w:p>
    <w:p>
      <w:pPr/>
      <w:r>
        <w:t>7.5. Исполнитель направляет Заказчику описание нарушения, подтверждающие материалы и расчёт штрафа. Срок уплаты — 10 календарных дней после получения требования. При оспаривании спор разрешается в установленном законом порядке. Документально подтверждённые убытки, включая упущенную выгоду, возмещаются в части, не покрытой штрафом. Штраф не означает автоматического удержания всей оплаты за курс.</w:t>
      </w:r>
    </w:p>
    <w:p>
      <w:pPr/>
      <w:r>
        <w:t>7.6. Заказчик обеспечивает соблюдение правил указанным им Слушателем и принимает на себя предусмотренную разделом 7 договорную ответственность за его нарушения. Если Слушатель является Заказчиком либо лично принял бесплатное приглашение по пункту 3.4, он несёт эту ответственность самостоятельно. Исполнитель сохраняет подтверждение принятой редакции условий и доказательства нарушения.</w:t>
      </w:r>
    </w:p>
    <w:p>
      <w:pPr>
        <w:pStyle w:val="Heading1"/>
        <w:pageBreakBefore w:val="0"/>
      </w:pPr>
      <w:r>
        <w:t>8 Персональные данные и запись</w:t>
      </w:r>
    </w:p>
    <w:p>
      <w:r>
        <w:t>8.1. Исполнитель обрабатывает Ф.И.О., контакты, сведения о заказе и оплате, посещаемости и результатах контроля для заключения и исполнения договора, связи, бухгалтерского учёта и выдачи сертификата. Обработка ведётся на законных основаниях в необходимом объёме; данные хранятся в течение исполнения договора и обязательных сроков хранения соответствующих документов.</w:t>
      </w:r>
    </w:p>
    <w:p>
      <w:r>
        <w:t>8.2. Доступ к необходимым данным могут получать уполномоченные сотрудники, тренеры и поставщики технических услуг в пределах своих функций. До начала обучения Исполнитель сообщает используемую платформу и условия обработки звука для перевода. Передача, хранение и обработка данных, в том числе трансграничные, допускаются только с соблюдением требований законодательства Республики Узбекистан.</w:t>
      </w:r>
    </w:p>
    <w:p>
      <w:r>
        <w:t>8.3. Акцепт не означает согласия на рекламные рассылки, публикацию изображения или голоса Слушателя либо открытое размещение его персональных данных в реестре сертификатов. Для этих целей запрашивается отдельное согласие. До записи занятия Исполнитель уведомляет участников и получает необходимое согласие; участие без включения камеры и вопросы в чате должны оставаться доступными.</w:t>
      </w:r>
    </w:p>
    <w:p>
      <w:r>
        <w:t>8.4. Запросы о доступе, исправлении, прекращении обработки данных и отзыве отдельного согласия направляются на info@bridgeconsult.uz. Обработка, необходимая для исполнения закона, может продолжаться в пределах такого основания. Заказчик-организация обеспечивает надлежащее основание передачи данных своих сотрудников.</w:t>
      </w:r>
    </w:p>
    <w:p>
      <w:pPr>
        <w:pStyle w:val="Heading1"/>
        <w:pageBreakBefore w:val="0"/>
      </w:pPr>
      <w:r>
        <w:t>9 Обращения, ответственность и действие оферты</w:t>
      </w:r>
    </w:p>
    <w:p>
      <w:r>
        <w:t>9.1. Применяется право Республики Узбекистан. Исполнитель отвечает за привлечённых им лиц в пределах своих обязательств. Стороны несут ответственность по законодательству; эта оферта не исключает обязательную ответственность Исполнителя и не ограничивает установленные законом права потребителя.</w:t>
      </w:r>
    </w:p>
    <w:p>
      <w:r>
        <w:t>9.2. Обращения и претензии направляются по электронной почте из раздела 10 с описанием вопроса и номером заказа. Исполнитель отвечает в течение 10 календарных дней, если законом не установлен более короткий срок. Обращение к Исполнителю не лишает Заказчика права обратиться в уполномоченный орган или суд по установленной законом подсудности.</w:t>
      </w:r>
    </w:p>
    <w:p>
      <w:r>
        <w:t>9.3. При чрезвычайных и непредотвратимых обстоятельствах затронутая сторона незамедлительно уведомляет другую и подтверждает влияние на исполнение. Стороны согласуют перенос; при прекращении договора применяется расчёт за оказанные и неоказанные услуги по разделу 6 и закону. Обычная нехватка участников или денежных средств сама по себе такими обстоятельствами не является.</w:t>
      </w:r>
    </w:p>
    <w:p>
      <w:r>
        <w:t>9.4. Оферта применяется с момента её размещения Исполнителем для набора в первый поток и до закрытия этого набора. Срок оплаты конкретного заказа указывается в подтверждении. Изменение или отзыв оферты относится только к будущим заказам и не ухудшает условия ранее подтверждённых заказов в пределах их срока оплаты и заключённых договоров.</w:t>
      </w:r>
    </w:p>
    <w:p>
      <w:r>
        <w:t>9.5. Согласованные изменения договора и уведомления могут направляться по электронной почте с адресов, указанных сторонами при оформлении заказа, при возможности достоверно определить отправителя. Исполнитель сохраняет текст принятой редакции, подтверждение заказа и сведения об оплате; по запросу предоставляет их Заказчику.</w:t>
      </w:r>
    </w:p>
    <w:p>
      <w:pPr>
        <w:pStyle w:val="Heading1"/>
        <w:pageBreakBefore w:val="0"/>
      </w:pPr>
      <w:r>
        <w:t>10 Реквизиты Исполнителя</w:t>
      </w:r>
    </w:p>
    <w:p>
      <w:r>
        <w:rPr>
          <w:b/>
        </w:rPr>
        <w:t xml:space="preserve">Исполнитель: </w:t>
      </w:r>
      <w:r>
        <w:t>ООО «BRIDGE CONSULT»</w:t>
      </w:r>
    </w:p>
    <w:p>
      <w:r>
        <w:rPr>
          <w:b/>
        </w:rPr>
        <w:t xml:space="preserve">ИНН: </w:t>
      </w:r>
      <w:r>
        <w:t>304352406</w:t>
      </w:r>
    </w:p>
    <w:p>
      <w:r>
        <w:rPr>
          <w:b/>
        </w:rPr>
        <w:t xml:space="preserve">Регистрация: </w:t>
      </w:r>
      <w:r>
        <w:t>04.10.2016, свидетельство № 009518</w:t>
      </w:r>
    </w:p>
    <w:p>
      <w:r>
        <w:rPr>
          <w:b/>
        </w:rPr>
        <w:t xml:space="preserve">Почтовый адрес: </w:t>
      </w:r>
      <w:r>
        <w:t>100180, Республика Узбекистан, г. Ташкент, Юнусабадский район, ул. Ахмада Дониша, 12 квартал, дом 20А</w:t>
      </w:r>
    </w:p>
    <w:p>
      <w:r>
        <w:rPr>
          <w:b/>
        </w:rPr>
        <w:t xml:space="preserve">Расчётный счёт в сумах: </w:t>
      </w:r>
      <w:r>
        <w:t>20208000200690578001</w:t>
      </w:r>
    </w:p>
    <w:p>
      <w:r>
        <w:rPr>
          <w:b/>
        </w:rPr>
        <w:t xml:space="preserve">Банк / МФО: </w:t>
      </w:r>
      <w:r>
        <w:t>Orient Finans Bank / 01071</w:t>
      </w:r>
    </w:p>
    <w:p>
      <w:r>
        <w:rPr>
          <w:b/>
        </w:rPr>
        <w:t xml:space="preserve">Контакты: </w:t>
      </w:r>
      <w:r>
        <w:t>info@bridgeconsult.uz · +998 33 000 15 30 · www.bridgeconsult.uz</w:t>
      </w:r>
    </w:p>
    <w:p>
      <w:r>
        <w:rPr>
          <w:b/>
        </w:rPr>
        <w:t xml:space="preserve">Руководитель: </w:t>
      </w:r>
      <w:r>
        <w:t>Директор Белоусова Лариса Константиновна</w:t>
      </w:r>
    </w:p>
    <w:p>
      <w:r>
        <w:rPr>
          <w:b/>
        </w:rPr>
        <w:t>Уведомление об обучении: Подтверждение о получении уведомления № 1740768; дата подачи — 28.07.2026; порядковый номер реестра — X-177326674332. Деятельность по повышению квалификации и переподготовке кадров; форма — дистанционное обучение. Уполномоченный орган: Министерство высшего образования, науки и инноваций Республики Узбекистан.</w:t>
      </w:r>
      <w:r/>
    </w:p>
    <w:p>
      <w:pPr>
        <w:pStyle w:val="Caption"/>
      </w:pPr>
      <w:r>
        <w:t>Правовая основа: Гражданский кодекс Республики Узбекистан (статьи 237, 260–262, 325–326, 367–372, 703–708); законы «Об электронной коммерции», «О защите прав потребителей», «Об авторском праве и смежных правах» и «О персональных данных».</w:t>
      </w:r>
    </w:p>
    <w:sectPr w:rsidR="00FC693F" w:rsidRPr="0006063C" w:rsidSect="00034616">
      <w:headerReference w:type="default" r:id="rId9"/>
      <w:footerReference w:type="default" r:id="rId10"/>
      <w:pgSz w:w="11906" w:h="16838"/>
      <w:pgMar w:top="1049" w:right="1020" w:bottom="964" w:left="1134"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366"/>
        <w:sz w:val="16"/>
      </w:rPr>
      <w:t xml:space="preserve">BRIDGE CONSULT · редакция № 2 от 08.10.2026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72000" cy="310580"/>
          <wp:docPr id="1" name="Picture 1"/>
          <wp:cNvGraphicFramePr>
            <a:graphicFrameLocks noChangeAspect="1"/>
          </wp:cNvGraphicFramePr>
          <a:graphic>
            <a:graphicData uri="http://schemas.openxmlformats.org/drawingml/2006/picture">
              <pic:pic>
                <pic:nvPicPr>
                  <pic:cNvPr id="0" name="bridge-logo.png"/>
                  <pic:cNvPicPr/>
                </pic:nvPicPr>
                <pic:blipFill>
                  <a:blip r:embed="rId1"/>
                  <a:stretch>
                    <a:fillRect/>
                  </a:stretch>
                </pic:blipFill>
                <pic:spPr>
                  <a:xfrm>
                    <a:off x="0" y="0"/>
                    <a:ext cx="972000" cy="310580"/>
                  </a:xfrm>
                  <a:prstGeom prst="rect"/>
                </pic:spPr>
              </pic:pic>
            </a:graphicData>
          </a:graphic>
        </wp:inline>
      </w:drawing>
    </w:r>
    <w:r>
      <w:rPr>
        <w:color w:val="9C711C"/>
        <w:sz w:val="18"/>
      </w:rPr>
      <w:t xml:space="preserve">    BRIDGE ACADEMY  |  ПУБЛИЧНАЯ ОФЕРТА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libri" w:hAnsi="Calibri"/>
      <w:color w:val="302B1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i w:val="0"/>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40" w:after="100"/>
    </w:pPr>
    <w:rPr>
      <w:rFonts w:asciiTheme="majorHAnsi" w:eastAsiaTheme="majorEastAsia" w:hAnsiTheme="majorHAnsi" w:cstheme="majorBidi" w:ascii="Calibri" w:hAnsi="Calibr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i w:val="0"/>
      <w:color w:val="403824"/>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fidic.uz/verif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BRIDGE Academy Эффективное планирование и составление графиков строительных проектов</dc:title>
  <dc:subject>Онлайн курс BC-PC-2026-01</dc:subject>
  <dc:creator>BRIDGE CONSULT</dc:creator>
  <cp:keywords/>
  <dc:description>generated by python-docx</dc:description>
  <cp:lastModifiedBy/>
  <cp:revision>1</cp:revision>
  <dcterms:created xsi:type="dcterms:W3CDTF">2013-12-23T23:15:00Z</dcterms:created>
  <dcterms:modified xsi:type="dcterms:W3CDTF">2013-12-23T23:15:00Z</dcterms:modified>
  <cp:category/>
</cp:coreProperties>
</file>